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jc w:val="center"/>
        <w:rPr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701800" cy="1703705"/>
            <wp:effectExtent l="0" t="0" r="0" b="0"/>
            <wp:docPr id="129" name="图片 129" descr="E:\工作资料\广安\00升级项目\上线前问题调整\交易中心LOGO.jp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E:\工作资料\广安\00升级项目\上线前问题调整\交易中心LOGO.jp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center"/>
        <w:rPr>
          <w:rFonts w:ascii="宋体" w:hAnsi="宋体" w:cstheme="minorBidi"/>
          <w:b/>
          <w:bCs/>
          <w:sz w:val="28"/>
          <w:szCs w:val="28"/>
        </w:rPr>
      </w:pPr>
      <w:r>
        <w:rPr>
          <w:rFonts w:hint="eastAsia" w:ascii="宋体" w:hAnsi="宋体" w:cstheme="minorBidi"/>
          <w:b/>
          <w:bCs/>
          <w:sz w:val="28"/>
          <w:szCs w:val="28"/>
        </w:rPr>
        <w:t>广安市公共资源交易中心</w:t>
      </w:r>
    </w:p>
    <w:p>
      <w:pPr>
        <w:ind w:firstLine="0" w:firstLineChars="0"/>
        <w:jc w:val="center"/>
        <w:rPr>
          <w:rFonts w:ascii="宋体" w:hAnsi="宋体" w:cstheme="minorBidi"/>
          <w:sz w:val="18"/>
          <w:szCs w:val="18"/>
        </w:rPr>
      </w:pPr>
      <w:r>
        <w:rPr>
          <w:rFonts w:hint="eastAsia" w:ascii="宋体" w:hAnsi="宋体" w:cstheme="minorBidi"/>
          <w:sz w:val="18"/>
          <w:szCs w:val="18"/>
        </w:rPr>
        <w:t>地址：广安市河堰路170号</w:t>
      </w:r>
    </w:p>
    <w:p>
      <w:pPr>
        <w:spacing w:line="240" w:lineRule="auto"/>
        <w:ind w:firstLine="0" w:firstLineChars="0"/>
        <w:jc w:val="center"/>
        <w:rPr>
          <w:rFonts w:asciiTheme="minorHAnsi" w:hAnsiTheme="minorHAnsi" w:cstheme="minorBidi"/>
        </w:rPr>
      </w:pPr>
      <w:r>
        <w:rPr>
          <w:rFonts w:hint="eastAsia" w:ascii="宋体" w:hAnsi="宋体" w:cstheme="minorBidi"/>
          <w:sz w:val="18"/>
          <w:szCs w:val="18"/>
        </w:rPr>
        <w:t>电话：0826-2390196</w:t>
      </w: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 w:cs="黑体"/>
          <w:b/>
          <w:sz w:val="52"/>
          <w:szCs w:val="52"/>
          <w:lang w:bidi="ar"/>
        </w:rPr>
        <w:t>广安公共资源电子交易平台</w:t>
      </w:r>
    </w:p>
    <w:p>
      <w:pPr>
        <w:ind w:firstLine="0" w:firstLineChars="0"/>
        <w:jc w:val="center"/>
        <w:rPr>
          <w:rFonts w:eastAsia="黑体"/>
          <w:b/>
          <w:sz w:val="52"/>
          <w:szCs w:val="52"/>
        </w:rPr>
      </w:pPr>
      <w:bookmarkStart w:id="50" w:name="_GoBack"/>
      <w:r>
        <w:rPr>
          <w:rFonts w:hint="eastAsia" w:eastAsia="黑体"/>
          <w:b/>
          <w:sz w:val="52"/>
          <w:szCs w:val="52"/>
        </w:rPr>
        <w:t>国有产权竞价人员操作手册</w:t>
      </w:r>
      <w:bookmarkEnd w:id="50"/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6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9"/>
        <w:tabs>
          <w:tab w:val="right" w:leader="dot" w:pos="8266"/>
        </w:tabs>
      </w:pP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cs="Times New Roman"/>
        </w:rPr>
        <w:instrText xml:space="preserve"> HYPERLINK \l _Toc21486 </w:instrText>
      </w:r>
      <w:r>
        <w:rPr>
          <w:rFonts w:cs="Times New Roman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_Toc21486 \h </w:instrText>
      </w:r>
      <w:r>
        <w:fldChar w:fldCharType="separate"/>
      </w:r>
      <w:r>
        <w:t>1</w:t>
      </w:r>
      <w:r>
        <w:fldChar w:fldCharType="end"/>
      </w:r>
      <w:r>
        <w:rPr>
          <w:rFonts w:cs="Times New Roman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_Toc9198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_Toc9198 \h </w:instrText>
      </w:r>
      <w:r>
        <w:fldChar w:fldCharType="separate"/>
      </w:r>
      <w:r>
        <w:t>1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_Toc19924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_Toc19924 \h </w:instrText>
      </w:r>
      <w:r>
        <w:fldChar w:fldCharType="separate"/>
      </w:r>
      <w:r>
        <w:t>1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_Toc1437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_Toc1437 \h </w:instrText>
      </w:r>
      <w:r>
        <w:fldChar w:fldCharType="separate"/>
      </w:r>
      <w:r>
        <w:t>5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_Toc29762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1.1.3、 </w:t>
      </w:r>
      <w:r>
        <w:rPr>
          <w:rFonts w:hint="eastAsia"/>
        </w:rPr>
        <w:t>兼容性视图设置</w:t>
      </w:r>
      <w:r>
        <w:tab/>
      </w:r>
      <w:r>
        <w:fldChar w:fldCharType="begin"/>
      </w:r>
      <w:r>
        <w:instrText xml:space="preserve"> PAGEREF _Toc29762 \h </w:instrText>
      </w:r>
      <w:r>
        <w:fldChar w:fldCharType="separate"/>
      </w:r>
      <w:r>
        <w:t>5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_Toc772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t>投标人管理</w:t>
      </w:r>
      <w:r>
        <w:tab/>
      </w:r>
      <w:r>
        <w:fldChar w:fldCharType="begin"/>
      </w:r>
      <w:r>
        <w:instrText xml:space="preserve"> PAGEREF _Toc772 \h </w:instrText>
      </w:r>
      <w:r>
        <w:fldChar w:fldCharType="separate"/>
      </w:r>
      <w:r>
        <w:t>8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_Toc12441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2.1、 </w:t>
      </w:r>
      <w:r>
        <w:rPr>
          <w:rFonts w:hint="eastAsia"/>
        </w:rPr>
        <w:t>系统</w:t>
      </w:r>
      <w:r>
        <w:rPr>
          <w:rFonts w:hint="eastAsia"/>
          <w:lang w:val="en-US" w:eastAsia="zh-CN"/>
        </w:rPr>
        <w:t>注册</w:t>
      </w:r>
      <w:r>
        <w:tab/>
      </w:r>
      <w:r>
        <w:fldChar w:fldCharType="begin"/>
      </w:r>
      <w:r>
        <w:instrText xml:space="preserve"> PAGEREF _Toc12441 \h </w:instrText>
      </w:r>
      <w:r>
        <w:fldChar w:fldCharType="separate"/>
      </w:r>
      <w:r>
        <w:t>8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_Toc7292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2.2、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_Toc7292 \h </w:instrText>
      </w:r>
      <w:r>
        <w:fldChar w:fldCharType="separate"/>
      </w:r>
      <w:r>
        <w:t>8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_Toc13411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2.3、 </w:t>
      </w:r>
      <w:r>
        <w:t>诚信库管理</w:t>
      </w:r>
      <w:r>
        <w:tab/>
      </w:r>
      <w:r>
        <w:fldChar w:fldCharType="begin"/>
      </w:r>
      <w:r>
        <w:instrText xml:space="preserve"> PAGEREF _Toc13411 \h </w:instrText>
      </w:r>
      <w:r>
        <w:fldChar w:fldCharType="separate"/>
      </w:r>
      <w:r>
        <w:t>9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9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_Toc28075 </w:instrText>
      </w:r>
      <w:r>
        <w:rPr>
          <w:szCs w:val="20"/>
        </w:rPr>
        <w:fldChar w:fldCharType="separate"/>
      </w:r>
      <w:r>
        <w:rPr>
          <w:rFonts w:hint="eastAsia"/>
          <w:lang w:val="en-US"/>
        </w:rPr>
        <w:t xml:space="preserve">三、 </w:t>
      </w:r>
      <w:r>
        <w:t>产权投标</w:t>
      </w:r>
      <w:r>
        <w:tab/>
      </w:r>
      <w:r>
        <w:fldChar w:fldCharType="begin"/>
      </w:r>
      <w:r>
        <w:instrText xml:space="preserve"> PAGEREF _Toc28075 \h </w:instrText>
      </w:r>
      <w:r>
        <w:fldChar w:fldCharType="separate"/>
      </w:r>
      <w:r>
        <w:t>10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_Toc17357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3.1、 </w:t>
      </w:r>
      <w:r>
        <w:rPr>
          <w:rFonts w:hint="eastAsia"/>
        </w:rPr>
        <w:t>招标公告</w:t>
      </w:r>
      <w:r>
        <w:tab/>
      </w:r>
      <w:r>
        <w:fldChar w:fldCharType="begin"/>
      </w:r>
      <w:r>
        <w:instrText xml:space="preserve"> PAGEREF _Toc17357 \h </w:instrText>
      </w:r>
      <w:r>
        <w:fldChar w:fldCharType="separate"/>
      </w:r>
      <w:r>
        <w:t>10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_Toc27816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3.1.1、 </w:t>
      </w:r>
      <w:r>
        <w:rPr>
          <w:rFonts w:hint="eastAsia"/>
        </w:rPr>
        <w:t>查看公告详情</w:t>
      </w:r>
      <w:r>
        <w:rPr>
          <w:rFonts w:hint="eastAsia"/>
          <w:lang w:val="en-US" w:eastAsia="zh-CN"/>
        </w:rPr>
        <w:t>领取交易文件</w:t>
      </w:r>
      <w:r>
        <w:tab/>
      </w:r>
      <w:r>
        <w:fldChar w:fldCharType="begin"/>
      </w:r>
      <w:r>
        <w:instrText xml:space="preserve"> PAGEREF _Toc27816 \h </w:instrText>
      </w:r>
      <w:r>
        <w:fldChar w:fldCharType="separate"/>
      </w:r>
      <w:r>
        <w:t>10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_Toc7365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3.1.2、 </w:t>
      </w:r>
      <w:r>
        <w:rPr>
          <w:rFonts w:hint="eastAsia"/>
        </w:rPr>
        <w:t>招标报名</w:t>
      </w:r>
      <w:r>
        <w:tab/>
      </w:r>
      <w:r>
        <w:fldChar w:fldCharType="begin"/>
      </w:r>
      <w:r>
        <w:instrText xml:space="preserve"> PAGEREF _Toc7365 \h </w:instrText>
      </w:r>
      <w:r>
        <w:fldChar w:fldCharType="separate"/>
      </w:r>
      <w:r>
        <w:t>12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_Toc18192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3.2、 </w:t>
      </w:r>
      <w:r>
        <w:rPr>
          <w:rFonts w:hint="eastAsia"/>
        </w:rPr>
        <w:t>我的项目</w:t>
      </w:r>
      <w:r>
        <w:tab/>
      </w:r>
      <w:r>
        <w:fldChar w:fldCharType="begin"/>
      </w:r>
      <w:r>
        <w:instrText xml:space="preserve"> PAGEREF _Toc18192 \h </w:instrText>
      </w:r>
      <w:r>
        <w:fldChar w:fldCharType="separate"/>
      </w:r>
      <w:r>
        <w:t>16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_Toc10294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3.2.1、 </w:t>
      </w:r>
      <w:r>
        <w:rPr>
          <w:rFonts w:hint="eastAsia"/>
        </w:rPr>
        <w:t>项目详情信息</w:t>
      </w:r>
      <w:r>
        <w:tab/>
      </w:r>
      <w:r>
        <w:fldChar w:fldCharType="begin"/>
      </w:r>
      <w:r>
        <w:instrText xml:space="preserve"> PAGEREF _Toc10294 \h </w:instrText>
      </w:r>
      <w:r>
        <w:fldChar w:fldCharType="separate"/>
      </w:r>
      <w:r>
        <w:t>16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_Toc29922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3.2.2、 </w:t>
      </w:r>
      <w:r>
        <w:rPr>
          <w:rFonts w:hint="eastAsia"/>
        </w:rPr>
        <w:t>参与竞价</w:t>
      </w:r>
      <w:r>
        <w:tab/>
      </w:r>
      <w:r>
        <w:fldChar w:fldCharType="begin"/>
      </w:r>
      <w:r>
        <w:instrText xml:space="preserve"> PAGEREF _Toc29922 \h </w:instrText>
      </w:r>
      <w:r>
        <w:fldChar w:fldCharType="separate"/>
      </w:r>
      <w:r>
        <w:t>17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_Toc19959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3.2.3、 </w:t>
      </w:r>
      <w:r>
        <w:rPr>
          <w:rFonts w:hint="eastAsia"/>
        </w:rPr>
        <w:t>批量报价</w:t>
      </w:r>
      <w:r>
        <w:tab/>
      </w:r>
      <w:r>
        <w:fldChar w:fldCharType="begin"/>
      </w:r>
      <w:r>
        <w:instrText xml:space="preserve"> PAGEREF _Toc19959 \h </w:instrText>
      </w:r>
      <w:r>
        <w:fldChar w:fldCharType="separate"/>
      </w:r>
      <w:r>
        <w:t>18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_Toc5917 </w:instrText>
      </w:r>
      <w:r>
        <w:rPr>
          <w:szCs w:val="20"/>
        </w:rPr>
        <w:fldChar w:fldCharType="separate"/>
      </w:r>
      <w:r>
        <w:rPr>
          <w:rFonts w:hint="eastAsia"/>
          <w:szCs w:val="30"/>
        </w:rPr>
        <w:t xml:space="preserve">3.3、 </w:t>
      </w:r>
      <w:r>
        <w:rPr>
          <w:rFonts w:hint="eastAsia"/>
        </w:rPr>
        <w:t>中标项目</w:t>
      </w:r>
      <w:r>
        <w:tab/>
      </w:r>
      <w:r>
        <w:fldChar w:fldCharType="begin"/>
      </w:r>
      <w:r>
        <w:instrText xml:space="preserve"> PAGEREF _Toc5917 \h </w:instrText>
      </w:r>
      <w:r>
        <w:fldChar w:fldCharType="separate"/>
      </w:r>
      <w:r>
        <w:t>19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5"/>
        <w:tabs>
          <w:tab w:val="right" w:leader="dot" w:pos="8266"/>
        </w:tabs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szCs w:val="20"/>
        </w:rPr>
        <w:instrText xml:space="preserve"> HYPERLINK \l _Toc18795 </w:instrText>
      </w:r>
      <w:r>
        <w:rPr>
          <w:szCs w:val="20"/>
        </w:rPr>
        <w:fldChar w:fldCharType="separate"/>
      </w:r>
      <w:r>
        <w:rPr>
          <w:rFonts w:hint="eastAsia"/>
          <w:i w:val="0"/>
        </w:rPr>
        <w:t xml:space="preserve">3.3.1、 </w:t>
      </w:r>
      <w:r>
        <w:rPr>
          <w:rFonts w:hint="eastAsia"/>
        </w:rPr>
        <w:t>成交查看</w:t>
      </w:r>
      <w:r>
        <w:tab/>
      </w:r>
      <w:r>
        <w:fldChar w:fldCharType="begin"/>
      </w:r>
      <w:r>
        <w:instrText xml:space="preserve"> PAGEREF _Toc18795 \h </w:instrText>
      </w:r>
      <w:r>
        <w:fldChar w:fldCharType="separate"/>
      </w:r>
      <w:r>
        <w:t>19</w:t>
      </w:r>
      <w:r>
        <w:fldChar w:fldCharType="end"/>
      </w: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6"/>
        <w:spacing w:line="240" w:lineRule="auto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422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12" w:type="first"/>
          <w:footerReference r:id="rId11" w:type="default"/>
          <w:pgSz w:w="11906" w:h="16838"/>
          <w:pgMar w:top="1440" w:right="1797" w:bottom="1440" w:left="1843" w:header="454" w:footer="680" w:gutter="0"/>
          <w:pgNumType w:fmt="decimal" w:start="1"/>
          <w:cols w:space="720" w:num="1"/>
          <w:titlePg/>
          <w:docGrid w:type="lines" w:linePitch="312" w:charSpace="0"/>
        </w:sectPr>
      </w:pPr>
      <w:bookmarkStart w:id="0" w:name="_Toc404243487"/>
      <w:bookmarkStart w:id="1" w:name="_Toc404764406"/>
      <w:bookmarkStart w:id="2" w:name="_Toc21486"/>
      <w:bookmarkStart w:id="3" w:name="_Toc404765182"/>
      <w:bookmarkStart w:id="4" w:name="_Toc346183627"/>
      <w:bookmarkStart w:id="5" w:name="_Toc346701609"/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bookmarkStart w:id="6" w:name="_Toc9198"/>
      <w:bookmarkStart w:id="7" w:name="_Toc10079"/>
      <w:bookmarkStart w:id="8" w:name="_Toc404243499"/>
      <w:bookmarkStart w:id="9" w:name="_Toc404765194"/>
      <w:bookmarkStart w:id="10" w:name="_Toc33041685"/>
      <w:bookmarkStart w:id="11" w:name="_Toc404764418"/>
      <w:bookmarkStart w:id="12" w:name="_Toc346183639"/>
      <w:bookmarkStart w:id="13" w:name="_Toc346701621"/>
      <w:r>
        <w:t>浏览器配置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  <w:widowControl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4" w:name="_Toc33041686"/>
      <w:bookmarkStart w:id="15" w:name="_Toc404243500"/>
      <w:bookmarkStart w:id="16" w:name="_Toc346183640"/>
      <w:bookmarkStart w:id="17" w:name="_Toc346701622"/>
      <w:bookmarkStart w:id="18" w:name="_Toc7460"/>
      <w:bookmarkStart w:id="19" w:name="_Toc19924"/>
      <w:bookmarkStart w:id="20" w:name="_Toc404765195"/>
      <w:bookmarkStart w:id="21" w:name="_Toc404764419"/>
      <w:r>
        <w:rPr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如果使用IE浏览器，或者其他浏览器的兼容模式，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</w:rPr>
        <w:t>部分浏览器没有工具或者工具图标为“</w:t>
      </w:r>
      <w:r>
        <w:drawing>
          <wp:inline distT="0" distB="0" distL="114300" distR="114300">
            <wp:extent cx="247650" cy="219075"/>
            <wp:effectExtent l="0" t="0" r="11430" b="9525"/>
            <wp:docPr id="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>
        <w:rPr>
          <w:rFonts w:hint="eastAsia"/>
          <w:lang w:eastAsia="zh-CN"/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571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275" cy="4749800"/>
            <wp:effectExtent l="0" t="0" r="9525" b="5080"/>
            <wp:docPr id="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404764420"/>
      <w:bookmarkStart w:id="23" w:name="_Toc346701623"/>
      <w:bookmarkStart w:id="24" w:name="_Toc33041687"/>
      <w:bookmarkStart w:id="25" w:name="_Toc404243501"/>
      <w:bookmarkStart w:id="26" w:name="_Toc346183641"/>
      <w:bookmarkStart w:id="27" w:name="_Toc1437"/>
      <w:bookmarkStart w:id="28" w:name="_Toc404765196"/>
      <w:bookmarkStart w:id="29" w:name="_Toc24884"/>
      <w:r>
        <w:rPr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0" w:name="_Toc29762"/>
      <w:bookmarkStart w:id="31" w:name="_Toc16790"/>
      <w:bookmarkStart w:id="32" w:name="_Toc26360592"/>
      <w:bookmarkStart w:id="33" w:name="_Toc33041688"/>
      <w:r>
        <w:rPr>
          <w:rFonts w:hint="eastAsia"/>
        </w:rPr>
        <w:t>兼容性视图设置</w:t>
      </w:r>
      <w:bookmarkEnd w:id="30"/>
      <w:bookmarkEnd w:id="31"/>
      <w:bookmarkEnd w:id="32"/>
      <w:bookmarkEnd w:id="33"/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</w:rPr>
        <w:t>打开“工具”菜单</w:t>
      </w:r>
      <w:r>
        <w:rPr>
          <w:rFonts w:asciiTheme="minorEastAsia" w:hAnsiTheme="minorEastAsia" w:eastAsiaTheme="minorEastAsia"/>
        </w:rPr>
        <w:sym w:font="Wingdings" w:char="F0E0"/>
      </w:r>
      <w:r>
        <w:rPr>
          <w:rFonts w:hint="eastAsia" w:asciiTheme="minorEastAsia" w:hAnsiTheme="minorEastAsia" w:eastAsiaTheme="minorEastAsia"/>
        </w:rPr>
        <w:t>“兼容性视图设置”，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485640" cy="5444490"/>
            <wp:effectExtent l="0" t="0" r="10160" b="11430"/>
            <wp:docPr id="84" name="图片 84" descr="]R7V846}D4C)P7~VDB4E08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]R7V846}D4C)P7~VDB4E08K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pacing w:line="240" w:lineRule="auto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4" w:name="_Toc772"/>
      <w:r>
        <w:rPr>
          <w:color w:val="000000" w:themeColor="text1"/>
          <w14:textFill>
            <w14:solidFill>
              <w14:schemeClr w14:val="tx1"/>
            </w14:solidFill>
          </w14:textFill>
        </w:rPr>
        <w:t>投标人管理</w:t>
      </w:r>
      <w:bookmarkEnd w:id="34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5" w:name="_Toc1244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注册</w:t>
      </w:r>
      <w:bookmarkEnd w:id="35"/>
    </w:p>
    <w:p>
      <w:pPr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首次登录</w:t>
      </w:r>
      <w:r>
        <w:rPr>
          <w:rFonts w:hint="eastAsia"/>
        </w:rPr>
        <w:t>广安市公共资源电子招投标交易平台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需要先注册账号密码，具体操作详见：</w:t>
      </w:r>
    </w:p>
    <w:p>
      <w:r>
        <w:rPr>
          <w:rFonts w:hint="default"/>
          <w:lang w:val="en-US" w:eastAsia="zh-CN"/>
        </w:rPr>
        <w:t>https://zhidao.bqpoint.com/epointknow2/bqepointknowquestion.html?target=zhidao&amp;producttype=1&amp;platformguid=7e39750e-883a-4674-88fe-80343b7b4280&amp;CategoryCode=11&amp;QuestionGuid=f3442803-e579-4f92-86ae-78b6088bf954</w:t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1197"/>
      <w:bookmarkStart w:id="37" w:name="_Toc8248"/>
      <w:bookmarkStart w:id="38" w:name="_Toc729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36"/>
      <w:bookmarkEnd w:id="3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38"/>
    </w:p>
    <w:p>
      <w:pPr>
        <w:numPr>
          <w:ilvl w:val="0"/>
          <w:numId w:val="2"/>
        </w:numPr>
      </w:pPr>
      <w:r>
        <w:rPr>
          <w:rFonts w:hint="eastAsia"/>
        </w:rPr>
        <w:t>打开广安市公共资源电子招投标交易平台，如下图：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37480" cy="2684145"/>
            <wp:effectExtent l="0" t="0" r="508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rPr>
          <w:rFonts w:hint="eastAsia"/>
        </w:rPr>
        <w:t>登录方式有三种：用户登录、CA登录或扫码登录。</w:t>
      </w:r>
    </w:p>
    <w:p>
      <w:r>
        <w:rPr>
          <w:rFonts w:hint="eastAsia"/>
        </w:rPr>
        <w:t>用户登录：输入账号密码进行登录。</w:t>
      </w:r>
    </w:p>
    <w:p>
      <w:r>
        <w:rPr>
          <w:rFonts w:hint="eastAsia"/>
        </w:rPr>
        <w:t>CA登录：插入激活后的CA，输入密码即可登录。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37480" cy="2667635"/>
            <wp:effectExtent l="0" t="0" r="5080" b="146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扫码登录：使用手机App标E证扫码登录。如下图：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37480" cy="2673350"/>
            <wp:effectExtent l="0" t="0" r="5080" b="889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9" w:name="_Toc13411"/>
      <w:r>
        <w:rPr>
          <w:color w:val="000000" w:themeColor="text1"/>
          <w14:textFill>
            <w14:solidFill>
              <w14:schemeClr w14:val="tx1"/>
            </w14:solidFill>
          </w14:textFill>
        </w:rPr>
        <w:t>诚信库管理</w:t>
      </w:r>
      <w:bookmarkEnd w:id="39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登录后可以进行本单位基本信息的维护，录入、修改基本信息。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在主平台，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“单位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”按钮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填写信息并提交审核，可对对诚信库信息进行维护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37480" cy="2651760"/>
            <wp:effectExtent l="0" t="0" r="508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37480" cy="2675890"/>
            <wp:effectExtent l="0" t="0" r="5080" b="635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0" w:name="_Toc28075"/>
      <w:r>
        <w:rPr>
          <w:color w:val="000000" w:themeColor="text1"/>
          <w14:textFill>
            <w14:solidFill>
              <w14:schemeClr w14:val="tx1"/>
            </w14:solidFill>
          </w14:textFill>
        </w:rPr>
        <w:t>产权投标</w:t>
      </w:r>
      <w:bookmarkEnd w:id="40"/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1" w:name="_Toc1735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41"/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2781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查看公告详情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领取交易文件</w:t>
      </w:r>
      <w:bookmarkEnd w:id="42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项目的招标公告已发布，在报名起止时间内。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产权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查看招标公告、下载交易文件。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8750" cy="2675255"/>
            <wp:effectExtent l="0" t="0" r="3810" b="6985"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2、招标公告列表页面，鼠标放置在标的上，点击“公告详情”按钮，进入公告详情页面，在公告详情页面，可以查看公告原文和下载交易文件。截图如下所示：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8569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8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6631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widowControl/>
        <w:tabs>
          <w:tab w:val="clear" w:pos="567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3" w:name="_Toc7365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招标报名</w:t>
      </w:r>
      <w:bookmarkEnd w:id="43"/>
    </w:p>
    <w:p>
      <w:pPr>
        <w:ind w:firstLine="422"/>
        <w:rPr>
          <w:rFonts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项目的招标公告已发布，在报名起止时间内</w:t>
      </w: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产权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填写投标信息，提交相关投标资料。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1、点击“招标公告”菜单，进入招标公告列表，如下图：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7005" cy="2664460"/>
            <wp:effectExtent l="0" t="0" r="10795" b="2540"/>
            <wp:docPr id="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2、左上角选择“公告中”，鼠标放置在要报名的标的上，点击 “我要报名”按钮，进入“完善投标信息”页面，如下图：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5100" cy="2674620"/>
            <wp:effectExtent l="0" t="0" r="12700" b="7620"/>
            <wp:docPr id="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注：也可以通过右上方搜索框输入标段包编号、项目名称进行搜索，找到需要报名的标段。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进入报名页面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报名流程依次在页面上方显示，依次完成就可完成报名，页面如下图。注意：需要同意该规则文件才能进行下一步操作，点击同意后进入下一流程。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7005" cy="2683510"/>
            <wp:effectExtent l="0" t="0" r="10795" b="13970"/>
            <wp:docPr id="6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4、选择竞买方式，页面如下图，点击红色标记框的两种方式选择一个。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1290" cy="2607310"/>
            <wp:effectExtent l="0" t="0" r="16510" b="2540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center"/>
      </w:pPr>
      <w:r>
        <w:rPr>
          <w:rFonts w:hint="eastAsia"/>
        </w:rPr>
        <w:t>以单独申请为例，点击“单独申请”按钮将进入“选择是否成立新公司”流程页面，在该页面红色标记框内选择是否成立新公司，选择后自动进入下一流程，如下图。</w:t>
      </w:r>
      <w:r>
        <w:drawing>
          <wp:inline distT="0" distB="0" distL="114300" distR="114300">
            <wp:extent cx="5238750" cy="2670175"/>
            <wp:effectExtent l="0" t="0" r="3810" b="12065"/>
            <wp:docPr id="9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rPr>
          <w:rFonts w:hint="eastAsia"/>
        </w:rPr>
        <w:t>注：点击上一步，即可修改上一步流程设置，后面将不再提示。</w:t>
      </w:r>
    </w:p>
    <w:p>
      <w:pPr>
        <w:numPr>
          <w:ilvl w:val="0"/>
          <w:numId w:val="3"/>
        </w:numPr>
      </w:pPr>
      <w:r>
        <w:rPr>
          <w:rFonts w:hint="eastAsia"/>
        </w:rPr>
        <w:t>以不成立新公司为例，选择后进入申请人信息填写页面，如下图所示，确认信息无误，点击下一步进入即可。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41290" cy="2670175"/>
            <wp:effectExtent l="0" t="0" r="1270" b="12065"/>
            <wp:docPr id="10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在“上传</w:t>
      </w:r>
      <w:r>
        <w:rPr>
          <w:rFonts w:hint="eastAsia"/>
          <w:lang w:val="en-US" w:eastAsia="zh-CN"/>
        </w:rPr>
        <w:t>竞买</w:t>
      </w:r>
      <w:r>
        <w:rPr>
          <w:rFonts w:hint="eastAsia"/>
        </w:rPr>
        <w:t>文件”页面，上传报名所需文件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具体模板请参考上方公告详情中交易文件要求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，如下图。上传文件后点击“申请”按钮，即可完成该流程。</w:t>
      </w:r>
    </w:p>
    <w:p>
      <w:pPr>
        <w:ind w:left="420" w:leftChars="200" w:firstLine="0" w:firstLineChars="0"/>
        <w:jc w:val="center"/>
      </w:pPr>
      <w:r>
        <w:drawing>
          <wp:inline distT="0" distB="0" distL="114300" distR="114300">
            <wp:extent cx="5242560" cy="1711960"/>
            <wp:effectExtent l="0" t="0" r="2540" b="25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b/>
          <w:color w:val="FF0000"/>
        </w:rPr>
      </w:pPr>
    </w:p>
    <w:p>
      <w:pPr>
        <w:numPr>
          <w:ilvl w:val="0"/>
          <w:numId w:val="3"/>
        </w:numPr>
      </w:pPr>
      <w:r>
        <w:rPr>
          <w:rFonts w:hint="eastAsia"/>
        </w:rPr>
        <w:t>进入“选择保证金缴纳银行”流程，查看标的信息，点击确认信息进入下一步，如下图</w:t>
      </w:r>
    </w:p>
    <w:p>
      <w:pPr>
        <w:ind w:left="420" w:leftChars="200" w:firstLine="0" w:firstLineChars="0"/>
        <w:jc w:val="center"/>
      </w:pPr>
      <w:r>
        <w:drawing>
          <wp:inline distT="0" distB="0" distL="114300" distR="114300">
            <wp:extent cx="5247640" cy="2696845"/>
            <wp:effectExtent l="0" t="0" r="10160" b="635"/>
            <wp:docPr id="10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  <w:color w:val="FF0000"/>
        </w:rPr>
        <w:sym w:font="Wingdings 2" w:char="F0EA"/>
      </w:r>
      <w:r>
        <w:rPr>
          <w:rFonts w:hint="eastAsia"/>
          <w:color w:val="FF0000"/>
        </w:rPr>
        <w:t>进入“获得保证金缴纳账号”页面，如下图所示。使用</w:t>
      </w:r>
      <w:r>
        <w:rPr>
          <w:rFonts w:hint="eastAsia"/>
          <w:b/>
          <w:color w:val="FF0000"/>
        </w:rPr>
        <w:t>系统中填写好的转出账号</w:t>
      </w:r>
      <w:r>
        <w:rPr>
          <w:rFonts w:hint="eastAsia"/>
          <w:color w:val="FF0000"/>
        </w:rPr>
        <w:t>缴纳保证金后依次点击保证金查询、缴纳查询，提示查询成功，提示保证金匹配成功后，查看已缴纳保证金是否显示正确，显示正确即完成保证金缴纳。</w:t>
      </w:r>
    </w:p>
    <w:p>
      <w:pPr>
        <w:ind w:left="420" w:leftChars="200" w:firstLine="0" w:firstLineChars="0"/>
        <w:jc w:val="center"/>
      </w:pPr>
      <w:r>
        <w:drawing>
          <wp:inline distT="0" distB="0" distL="114300" distR="114300">
            <wp:extent cx="5243195" cy="2290445"/>
            <wp:effectExtent l="0" t="0" r="1905" b="825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37480" cy="2665095"/>
            <wp:effectExtent l="0" t="0" r="5080" b="1905"/>
            <wp:docPr id="10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color w:val="FF0000"/>
          <w:szCs w:val="21"/>
        </w:rPr>
        <w:t>注意：请投标人按要求缴纳保证金后先在【保证金查询】页面自行查询保证金到账情况，</w:t>
      </w:r>
      <w:r>
        <w:rPr>
          <w:rFonts w:hint="eastAsia" w:ascii="Arial" w:hAnsi="Arial" w:cs="Arial"/>
          <w:b/>
          <w:bCs/>
          <w:color w:val="FF0000"/>
          <w:szCs w:val="21"/>
          <w:lang w:val="en-US" w:eastAsia="zh-CN"/>
        </w:rPr>
        <w:t>一定要</w:t>
      </w:r>
      <w:r>
        <w:rPr>
          <w:rFonts w:ascii="Arial" w:hAnsi="Arial" w:cs="Arial"/>
          <w:b/>
          <w:bCs/>
          <w:color w:val="FF0000"/>
          <w:szCs w:val="21"/>
        </w:rPr>
        <w:t>查询到账金额满足要求</w:t>
      </w:r>
      <w:r>
        <w:rPr>
          <w:rFonts w:hint="eastAsia" w:ascii="Arial" w:hAnsi="Arial" w:cs="Arial"/>
          <w:b/>
          <w:bCs/>
          <w:color w:val="FF0000"/>
          <w:szCs w:val="21"/>
          <w:lang w:val="en-US" w:eastAsia="zh-CN"/>
        </w:rPr>
        <w:t>后才可以参与竞价</w:t>
      </w:r>
      <w:r>
        <w:rPr>
          <w:rFonts w:ascii="Arial" w:hAnsi="Arial" w:cs="Arial"/>
          <w:b/>
          <w:bCs/>
          <w:color w:val="FF0000"/>
          <w:szCs w:val="21"/>
        </w:rPr>
        <w:t>，否则无法参与后续流程</w:t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4" w:name="_Toc1819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我的项目</w:t>
      </w:r>
      <w:bookmarkEnd w:id="44"/>
    </w:p>
    <w:p>
      <w:pPr>
        <w:pStyle w:val="4"/>
      </w:pPr>
      <w:bookmarkStart w:id="45" w:name="_Toc10294"/>
      <w:r>
        <w:rPr>
          <w:rFonts w:hint="eastAsia"/>
        </w:rPr>
        <w:t>项目详情信息</w:t>
      </w:r>
      <w:bookmarkEnd w:id="45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报名成功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产权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查看项目详情。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4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对应标段，点击“项目详情”选项，进入查看项目详情页面，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numId w:val="0"/>
        </w:num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667635"/>
            <wp:effectExtent l="0" t="0" r="5080" b="14605"/>
            <wp:docPr id="10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6" w:name="_Toc2992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参与竞价</w:t>
      </w:r>
      <w:bookmarkEnd w:id="46"/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产权需要满足两家才能参与竞价，</w:t>
      </w:r>
      <w:r>
        <w:rPr>
          <w:bCs/>
          <w:color w:val="FF0000"/>
        </w:rPr>
        <w:t>在竞价开始时间即可参与竞价，具体竞价开始时间以公告或者变更公告中最新的时间为准</w:t>
      </w:r>
      <w:r>
        <w:rPr>
          <w:color w:val="FF0000"/>
          <w:szCs w:val="21"/>
        </w:rPr>
        <w:t>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bCs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产权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参与竞价。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“我的项目”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找到对应标段，点击“我要报价”，如下图：</w:t>
      </w:r>
    </w:p>
    <w:p>
      <w:pPr>
        <w:numPr>
          <w:numId w:val="0"/>
        </w:numPr>
        <w:jc w:val="center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4940" cy="2675890"/>
            <wp:effectExtent l="0" t="0" r="7620" b="6350"/>
            <wp:docPr id="11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签订“电子竞价风险告知及接受确认书”后即可进入报价界面，如下图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7480" cy="2654300"/>
            <wp:effectExtent l="0" t="0" r="5080" b="12700"/>
            <wp:docPr id="1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竞价界面如下图。在竞价页面，投标人可以看到当前竞价的实时详情并参与报价，点击快速报价，“快速报价”即在目前最高/最低价格基础上增加/减少一倍幅度竞买，在上面红色框内也可自行选择加价/减价幅度倍数，点击“报价提交”按钮参与报价。</w:t>
      </w:r>
    </w:p>
    <w:p>
      <w:pPr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7005" cy="2680970"/>
            <wp:effectExtent l="0" t="0" r="10795" b="1270"/>
            <wp:docPr id="11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7" w:name="_Toc1995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批量报价</w:t>
      </w:r>
      <w:bookmarkEnd w:id="47"/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无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掌握多项目竞价实时动态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ind w:left="420" w:leftChars="200" w:firstLine="0" w:firstLineChars="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进入“我的项目”，点击“批量报价”，即可查看目前报名参与竞价的所有项目。如下图所示：</w:t>
      </w:r>
    </w:p>
    <w:p>
      <w:pPr>
        <w:numPr>
          <w:numId w:val="0"/>
        </w:numPr>
        <w:ind w:leftChars="200"/>
        <w:jc w:val="center"/>
      </w:pPr>
      <w:r>
        <w:drawing>
          <wp:inline distT="0" distB="0" distL="114300" distR="114300">
            <wp:extent cx="5237480" cy="2651760"/>
            <wp:effectExtent l="0" t="0" r="5080" b="0"/>
            <wp:docPr id="11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0" w:leftChars="200" w:firstLine="0" w:firstLineChars="0"/>
      </w:pPr>
      <w:r>
        <w:rPr>
          <w:rFonts w:hint="eastAsia"/>
        </w:rPr>
        <w:t>进入批量报价页面，可以看到报名项目的竞价实时动态，如下图所示：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4940" cy="2656840"/>
            <wp:effectExtent l="0" t="0" r="7620" b="10160"/>
            <wp:docPr id="11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591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中标项目</w:t>
      </w:r>
      <w:bookmarkEnd w:id="48"/>
    </w:p>
    <w:p>
      <w:pPr>
        <w:pStyle w:val="4"/>
      </w:pPr>
      <w:bookmarkStart w:id="49" w:name="_Toc18795"/>
      <w:r>
        <w:rPr>
          <w:rFonts w:hint="eastAsia"/>
        </w:rPr>
        <w:t>成交查看</w:t>
      </w:r>
      <w:bookmarkEnd w:id="49"/>
    </w:p>
    <w:p>
      <w:pPr>
        <w:ind w:firstLine="422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bCs/>
          <w:color w:val="000000" w:themeColor="text1"/>
          <w14:textFill>
            <w14:solidFill>
              <w14:schemeClr w14:val="tx1"/>
            </w14:solidFill>
          </w14:textFill>
        </w:rPr>
        <w:t>成交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投标人查看中标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具体以结果公告为准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。。</w:t>
      </w:r>
    </w:p>
    <w:p>
      <w:pPr>
        <w:ind w:firstLine="422"/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1、点击“中标项目”模块，可以查看成交金额、成交时间，如下图：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71725"/>
            <wp:effectExtent l="0" t="0" r="889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7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4" w:type="first"/>
      <w:footerReference r:id="rId13" w:type="default"/>
      <w:pgSz w:w="11906" w:h="16838"/>
      <w:pgMar w:top="1440" w:right="1797" w:bottom="1440" w:left="1843" w:header="454" w:footer="680" w:gutter="0"/>
      <w:pgNumType w:fmt="decimal"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国泰新点软件有限公司0512-58188000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hint="eastAsia" w:ascii="宋体" w:hAnsi="宋体"/>
      </w:rPr>
      <w:t>投标人</w:t>
    </w:r>
    <w:r>
      <w:rPr>
        <w:rFonts w:hint="eastAsia" w:ascii="Cambria" w:hAnsi="Cambria"/>
      </w:rPr>
      <w:t>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C77BE4"/>
    <w:multiLevelType w:val="singleLevel"/>
    <w:tmpl w:val="FAC77BE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26B652D9"/>
    <w:multiLevelType w:val="singleLevel"/>
    <w:tmpl w:val="26B652D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90D4DE3"/>
    <w:multiLevelType w:val="singleLevel"/>
    <w:tmpl w:val="390D4DE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49B2164"/>
    <w:multiLevelType w:val="singleLevel"/>
    <w:tmpl w:val="449B216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hNjM2MjY3NWQwNGRjYjM3ODJiNGM4OTUwMDA4NjQifQ=="/>
  </w:docVars>
  <w:rsids>
    <w:rsidRoot w:val="794D07E7"/>
    <w:rsid w:val="000054F3"/>
    <w:rsid w:val="00011996"/>
    <w:rsid w:val="00020ABF"/>
    <w:rsid w:val="000255F6"/>
    <w:rsid w:val="000323B5"/>
    <w:rsid w:val="000326EE"/>
    <w:rsid w:val="00051E3E"/>
    <w:rsid w:val="000536A4"/>
    <w:rsid w:val="000543F9"/>
    <w:rsid w:val="00057B21"/>
    <w:rsid w:val="00060BC0"/>
    <w:rsid w:val="0006336F"/>
    <w:rsid w:val="0006746F"/>
    <w:rsid w:val="0007415D"/>
    <w:rsid w:val="000776F0"/>
    <w:rsid w:val="00080015"/>
    <w:rsid w:val="000C711E"/>
    <w:rsid w:val="000F04CC"/>
    <w:rsid w:val="0010122A"/>
    <w:rsid w:val="00104788"/>
    <w:rsid w:val="001104F7"/>
    <w:rsid w:val="0011547A"/>
    <w:rsid w:val="00120E01"/>
    <w:rsid w:val="001354AF"/>
    <w:rsid w:val="00136B11"/>
    <w:rsid w:val="00141072"/>
    <w:rsid w:val="00146B15"/>
    <w:rsid w:val="00150997"/>
    <w:rsid w:val="0015116B"/>
    <w:rsid w:val="00152AED"/>
    <w:rsid w:val="00162896"/>
    <w:rsid w:val="00166072"/>
    <w:rsid w:val="00187254"/>
    <w:rsid w:val="001A4C23"/>
    <w:rsid w:val="001C2187"/>
    <w:rsid w:val="001D47C8"/>
    <w:rsid w:val="001D7303"/>
    <w:rsid w:val="001E03DE"/>
    <w:rsid w:val="001E4B48"/>
    <w:rsid w:val="00225DAE"/>
    <w:rsid w:val="002336AC"/>
    <w:rsid w:val="0024724D"/>
    <w:rsid w:val="00271C40"/>
    <w:rsid w:val="00284644"/>
    <w:rsid w:val="00286DB1"/>
    <w:rsid w:val="002A7853"/>
    <w:rsid w:val="002B4143"/>
    <w:rsid w:val="002B63F7"/>
    <w:rsid w:val="002D1DA0"/>
    <w:rsid w:val="002E518C"/>
    <w:rsid w:val="00312D71"/>
    <w:rsid w:val="0031383E"/>
    <w:rsid w:val="0032310F"/>
    <w:rsid w:val="00337824"/>
    <w:rsid w:val="00340122"/>
    <w:rsid w:val="0034750C"/>
    <w:rsid w:val="00350E72"/>
    <w:rsid w:val="0036597B"/>
    <w:rsid w:val="0038341A"/>
    <w:rsid w:val="003914AB"/>
    <w:rsid w:val="00391990"/>
    <w:rsid w:val="00396EC4"/>
    <w:rsid w:val="003A27AE"/>
    <w:rsid w:val="003A4CED"/>
    <w:rsid w:val="003B1A7E"/>
    <w:rsid w:val="003B42DF"/>
    <w:rsid w:val="003B4B73"/>
    <w:rsid w:val="003B58AE"/>
    <w:rsid w:val="003C0790"/>
    <w:rsid w:val="003C4A28"/>
    <w:rsid w:val="003E5DC9"/>
    <w:rsid w:val="003F28EF"/>
    <w:rsid w:val="003F4D89"/>
    <w:rsid w:val="00402899"/>
    <w:rsid w:val="00406CF1"/>
    <w:rsid w:val="00411F0E"/>
    <w:rsid w:val="00422A19"/>
    <w:rsid w:val="00424315"/>
    <w:rsid w:val="004250D7"/>
    <w:rsid w:val="00440DF1"/>
    <w:rsid w:val="0045082F"/>
    <w:rsid w:val="00451B4C"/>
    <w:rsid w:val="004571C4"/>
    <w:rsid w:val="00474AFA"/>
    <w:rsid w:val="004919C4"/>
    <w:rsid w:val="00491F9D"/>
    <w:rsid w:val="004920F6"/>
    <w:rsid w:val="004955CC"/>
    <w:rsid w:val="00495DC6"/>
    <w:rsid w:val="004A003F"/>
    <w:rsid w:val="004C2790"/>
    <w:rsid w:val="004C2E6C"/>
    <w:rsid w:val="004C684E"/>
    <w:rsid w:val="004D6036"/>
    <w:rsid w:val="004E316E"/>
    <w:rsid w:val="004E31B0"/>
    <w:rsid w:val="004F369F"/>
    <w:rsid w:val="004F6D12"/>
    <w:rsid w:val="0050016A"/>
    <w:rsid w:val="00504CF4"/>
    <w:rsid w:val="0052629C"/>
    <w:rsid w:val="005409CE"/>
    <w:rsid w:val="00566BFF"/>
    <w:rsid w:val="005677CB"/>
    <w:rsid w:val="005718A2"/>
    <w:rsid w:val="005857EC"/>
    <w:rsid w:val="005859E0"/>
    <w:rsid w:val="00586764"/>
    <w:rsid w:val="00586E7F"/>
    <w:rsid w:val="005A6FAE"/>
    <w:rsid w:val="005A6FC6"/>
    <w:rsid w:val="005B3842"/>
    <w:rsid w:val="005D1B8E"/>
    <w:rsid w:val="005D63AF"/>
    <w:rsid w:val="005E0EA5"/>
    <w:rsid w:val="005E2603"/>
    <w:rsid w:val="005F4A34"/>
    <w:rsid w:val="005F7064"/>
    <w:rsid w:val="00601B1F"/>
    <w:rsid w:val="00607461"/>
    <w:rsid w:val="00627897"/>
    <w:rsid w:val="00630EE5"/>
    <w:rsid w:val="00644781"/>
    <w:rsid w:val="00645D98"/>
    <w:rsid w:val="00646DB2"/>
    <w:rsid w:val="00657427"/>
    <w:rsid w:val="006677CF"/>
    <w:rsid w:val="00670B23"/>
    <w:rsid w:val="00674C68"/>
    <w:rsid w:val="00681462"/>
    <w:rsid w:val="00696093"/>
    <w:rsid w:val="00696F2D"/>
    <w:rsid w:val="006B1F33"/>
    <w:rsid w:val="006B345E"/>
    <w:rsid w:val="006C4100"/>
    <w:rsid w:val="006C5CAC"/>
    <w:rsid w:val="006D1806"/>
    <w:rsid w:val="006E247F"/>
    <w:rsid w:val="006E34D2"/>
    <w:rsid w:val="006E7E45"/>
    <w:rsid w:val="006F2C7D"/>
    <w:rsid w:val="00703A61"/>
    <w:rsid w:val="00711698"/>
    <w:rsid w:val="00714703"/>
    <w:rsid w:val="007302E1"/>
    <w:rsid w:val="00744476"/>
    <w:rsid w:val="00750115"/>
    <w:rsid w:val="00752AD3"/>
    <w:rsid w:val="00753A7A"/>
    <w:rsid w:val="0078427F"/>
    <w:rsid w:val="007844E3"/>
    <w:rsid w:val="00787EB3"/>
    <w:rsid w:val="00794CF0"/>
    <w:rsid w:val="007A06AF"/>
    <w:rsid w:val="007A09C0"/>
    <w:rsid w:val="007B3DAA"/>
    <w:rsid w:val="007C5994"/>
    <w:rsid w:val="007D26C9"/>
    <w:rsid w:val="007D4993"/>
    <w:rsid w:val="007D59E6"/>
    <w:rsid w:val="007D7C10"/>
    <w:rsid w:val="007E0FAC"/>
    <w:rsid w:val="00801F68"/>
    <w:rsid w:val="00804D32"/>
    <w:rsid w:val="008108C6"/>
    <w:rsid w:val="00816C93"/>
    <w:rsid w:val="00821C48"/>
    <w:rsid w:val="008519B7"/>
    <w:rsid w:val="008759B5"/>
    <w:rsid w:val="00877B52"/>
    <w:rsid w:val="0088071A"/>
    <w:rsid w:val="00880EAD"/>
    <w:rsid w:val="00887F9B"/>
    <w:rsid w:val="008A0859"/>
    <w:rsid w:val="008B61DC"/>
    <w:rsid w:val="008B7B6D"/>
    <w:rsid w:val="008D3138"/>
    <w:rsid w:val="008E2ADA"/>
    <w:rsid w:val="008E5D4C"/>
    <w:rsid w:val="008E683F"/>
    <w:rsid w:val="008F1DBB"/>
    <w:rsid w:val="008F57EA"/>
    <w:rsid w:val="008F5E59"/>
    <w:rsid w:val="008F6CA5"/>
    <w:rsid w:val="008F7C31"/>
    <w:rsid w:val="00913D43"/>
    <w:rsid w:val="00920CC5"/>
    <w:rsid w:val="00925FEB"/>
    <w:rsid w:val="0096270B"/>
    <w:rsid w:val="00962B9A"/>
    <w:rsid w:val="009632EA"/>
    <w:rsid w:val="00963A84"/>
    <w:rsid w:val="0096730D"/>
    <w:rsid w:val="00972CC2"/>
    <w:rsid w:val="009754E2"/>
    <w:rsid w:val="00993FAF"/>
    <w:rsid w:val="00997CAF"/>
    <w:rsid w:val="009A3A0F"/>
    <w:rsid w:val="009A6268"/>
    <w:rsid w:val="009B4582"/>
    <w:rsid w:val="009B55A7"/>
    <w:rsid w:val="009C1660"/>
    <w:rsid w:val="009C2051"/>
    <w:rsid w:val="009C341D"/>
    <w:rsid w:val="009D487D"/>
    <w:rsid w:val="009E364D"/>
    <w:rsid w:val="009E784D"/>
    <w:rsid w:val="009F6A48"/>
    <w:rsid w:val="00A01DFA"/>
    <w:rsid w:val="00A12346"/>
    <w:rsid w:val="00A175F1"/>
    <w:rsid w:val="00A329DC"/>
    <w:rsid w:val="00A347CA"/>
    <w:rsid w:val="00A4197B"/>
    <w:rsid w:val="00A600C8"/>
    <w:rsid w:val="00A6125E"/>
    <w:rsid w:val="00A65150"/>
    <w:rsid w:val="00A6711E"/>
    <w:rsid w:val="00A842C8"/>
    <w:rsid w:val="00A90A82"/>
    <w:rsid w:val="00A914A9"/>
    <w:rsid w:val="00AB0D8D"/>
    <w:rsid w:val="00AC5022"/>
    <w:rsid w:val="00AD45B8"/>
    <w:rsid w:val="00B017C4"/>
    <w:rsid w:val="00B30375"/>
    <w:rsid w:val="00B50A22"/>
    <w:rsid w:val="00B62857"/>
    <w:rsid w:val="00B858C0"/>
    <w:rsid w:val="00B95B94"/>
    <w:rsid w:val="00BD182B"/>
    <w:rsid w:val="00BD22A9"/>
    <w:rsid w:val="00BE141D"/>
    <w:rsid w:val="00BF2C11"/>
    <w:rsid w:val="00C03546"/>
    <w:rsid w:val="00C0458B"/>
    <w:rsid w:val="00C06DB5"/>
    <w:rsid w:val="00C15670"/>
    <w:rsid w:val="00C22609"/>
    <w:rsid w:val="00C40421"/>
    <w:rsid w:val="00C455DF"/>
    <w:rsid w:val="00C50E9E"/>
    <w:rsid w:val="00C5732D"/>
    <w:rsid w:val="00C61728"/>
    <w:rsid w:val="00C92353"/>
    <w:rsid w:val="00CA21B6"/>
    <w:rsid w:val="00CB15EB"/>
    <w:rsid w:val="00CC27F8"/>
    <w:rsid w:val="00CD05DB"/>
    <w:rsid w:val="00CE20E4"/>
    <w:rsid w:val="00D07E9C"/>
    <w:rsid w:val="00D2557A"/>
    <w:rsid w:val="00D25AD6"/>
    <w:rsid w:val="00D26A27"/>
    <w:rsid w:val="00D36E78"/>
    <w:rsid w:val="00D40205"/>
    <w:rsid w:val="00D46604"/>
    <w:rsid w:val="00D53BE2"/>
    <w:rsid w:val="00D66123"/>
    <w:rsid w:val="00D93BE3"/>
    <w:rsid w:val="00D960E2"/>
    <w:rsid w:val="00DA6528"/>
    <w:rsid w:val="00DF5E3E"/>
    <w:rsid w:val="00E239AF"/>
    <w:rsid w:val="00E5135E"/>
    <w:rsid w:val="00E62E44"/>
    <w:rsid w:val="00E75899"/>
    <w:rsid w:val="00E83FDB"/>
    <w:rsid w:val="00E932ED"/>
    <w:rsid w:val="00E9517D"/>
    <w:rsid w:val="00EA3A18"/>
    <w:rsid w:val="00EA7F8C"/>
    <w:rsid w:val="00EB39B4"/>
    <w:rsid w:val="00ED25CF"/>
    <w:rsid w:val="00EE74ED"/>
    <w:rsid w:val="00EF032A"/>
    <w:rsid w:val="00F17CD6"/>
    <w:rsid w:val="00F25715"/>
    <w:rsid w:val="00F25B82"/>
    <w:rsid w:val="00F31F93"/>
    <w:rsid w:val="00F33423"/>
    <w:rsid w:val="00F35486"/>
    <w:rsid w:val="00F37172"/>
    <w:rsid w:val="00F405D8"/>
    <w:rsid w:val="00F53560"/>
    <w:rsid w:val="00F670F1"/>
    <w:rsid w:val="00F82450"/>
    <w:rsid w:val="00F82657"/>
    <w:rsid w:val="00F85DDD"/>
    <w:rsid w:val="00F86C02"/>
    <w:rsid w:val="00F9041C"/>
    <w:rsid w:val="00F910F8"/>
    <w:rsid w:val="00FA6287"/>
    <w:rsid w:val="00FB01C3"/>
    <w:rsid w:val="00FB3CFF"/>
    <w:rsid w:val="00FB6C26"/>
    <w:rsid w:val="00FD6227"/>
    <w:rsid w:val="00FE3EF7"/>
    <w:rsid w:val="00FF20E0"/>
    <w:rsid w:val="00FF60F2"/>
    <w:rsid w:val="016822B8"/>
    <w:rsid w:val="01FA43E3"/>
    <w:rsid w:val="034D3B4F"/>
    <w:rsid w:val="05754CCE"/>
    <w:rsid w:val="05867E43"/>
    <w:rsid w:val="05B60A3D"/>
    <w:rsid w:val="080B34C6"/>
    <w:rsid w:val="08FF5FC7"/>
    <w:rsid w:val="09376BA6"/>
    <w:rsid w:val="097B1A21"/>
    <w:rsid w:val="0A972DBB"/>
    <w:rsid w:val="0C404341"/>
    <w:rsid w:val="0C5B39A8"/>
    <w:rsid w:val="0C6B2090"/>
    <w:rsid w:val="0D921D8F"/>
    <w:rsid w:val="0E1A239E"/>
    <w:rsid w:val="0E254B26"/>
    <w:rsid w:val="0E462098"/>
    <w:rsid w:val="0E892F2E"/>
    <w:rsid w:val="0ECA22C3"/>
    <w:rsid w:val="0F2C5074"/>
    <w:rsid w:val="107D407A"/>
    <w:rsid w:val="10A8525F"/>
    <w:rsid w:val="11595BCF"/>
    <w:rsid w:val="115A411A"/>
    <w:rsid w:val="11EA6266"/>
    <w:rsid w:val="12460657"/>
    <w:rsid w:val="13767A5D"/>
    <w:rsid w:val="139D44AC"/>
    <w:rsid w:val="13E974A8"/>
    <w:rsid w:val="13EF115D"/>
    <w:rsid w:val="14125594"/>
    <w:rsid w:val="14295324"/>
    <w:rsid w:val="14353662"/>
    <w:rsid w:val="14C05390"/>
    <w:rsid w:val="14E95FC8"/>
    <w:rsid w:val="15204125"/>
    <w:rsid w:val="15E22046"/>
    <w:rsid w:val="163F4C32"/>
    <w:rsid w:val="165B3D25"/>
    <w:rsid w:val="16E01CDA"/>
    <w:rsid w:val="17410D0D"/>
    <w:rsid w:val="17514A69"/>
    <w:rsid w:val="17CA7F76"/>
    <w:rsid w:val="17E35464"/>
    <w:rsid w:val="18085D13"/>
    <w:rsid w:val="185C49FD"/>
    <w:rsid w:val="18980CCD"/>
    <w:rsid w:val="18A706B9"/>
    <w:rsid w:val="199475D4"/>
    <w:rsid w:val="1A441CBC"/>
    <w:rsid w:val="1A4D7FD5"/>
    <w:rsid w:val="1A745784"/>
    <w:rsid w:val="1B592851"/>
    <w:rsid w:val="1B8B6F07"/>
    <w:rsid w:val="1BF73AD1"/>
    <w:rsid w:val="1C403309"/>
    <w:rsid w:val="1C493A60"/>
    <w:rsid w:val="1D096740"/>
    <w:rsid w:val="1D304CF8"/>
    <w:rsid w:val="1DFD7DB0"/>
    <w:rsid w:val="1E176780"/>
    <w:rsid w:val="1F127BD4"/>
    <w:rsid w:val="1F3233D2"/>
    <w:rsid w:val="1F341E6E"/>
    <w:rsid w:val="1F5F584A"/>
    <w:rsid w:val="1F654D23"/>
    <w:rsid w:val="1F9479FD"/>
    <w:rsid w:val="1F99410C"/>
    <w:rsid w:val="206D06A2"/>
    <w:rsid w:val="20741E20"/>
    <w:rsid w:val="208E17B0"/>
    <w:rsid w:val="20D9723C"/>
    <w:rsid w:val="21117017"/>
    <w:rsid w:val="21795CA2"/>
    <w:rsid w:val="218671B4"/>
    <w:rsid w:val="21AE4866"/>
    <w:rsid w:val="22230273"/>
    <w:rsid w:val="228A65A7"/>
    <w:rsid w:val="23375601"/>
    <w:rsid w:val="23A50BD2"/>
    <w:rsid w:val="248C70E1"/>
    <w:rsid w:val="248D1F91"/>
    <w:rsid w:val="24E2365C"/>
    <w:rsid w:val="2524631F"/>
    <w:rsid w:val="25440E46"/>
    <w:rsid w:val="26B057EF"/>
    <w:rsid w:val="27C42A62"/>
    <w:rsid w:val="29471828"/>
    <w:rsid w:val="295403E9"/>
    <w:rsid w:val="2AB40F49"/>
    <w:rsid w:val="2ABC4498"/>
    <w:rsid w:val="2BAF7959"/>
    <w:rsid w:val="2C9C2683"/>
    <w:rsid w:val="2D3C366E"/>
    <w:rsid w:val="2E194F8A"/>
    <w:rsid w:val="2F2F348A"/>
    <w:rsid w:val="30017972"/>
    <w:rsid w:val="3095741A"/>
    <w:rsid w:val="30E276F9"/>
    <w:rsid w:val="30F85705"/>
    <w:rsid w:val="317E5B05"/>
    <w:rsid w:val="319B00F1"/>
    <w:rsid w:val="32DD1645"/>
    <w:rsid w:val="3344502A"/>
    <w:rsid w:val="33620413"/>
    <w:rsid w:val="33FB3B2C"/>
    <w:rsid w:val="33FB5112"/>
    <w:rsid w:val="34EB7FC2"/>
    <w:rsid w:val="35280DD0"/>
    <w:rsid w:val="353B2CEF"/>
    <w:rsid w:val="355A23A6"/>
    <w:rsid w:val="35731BF7"/>
    <w:rsid w:val="359E3E71"/>
    <w:rsid w:val="365238F1"/>
    <w:rsid w:val="36883247"/>
    <w:rsid w:val="36B507C8"/>
    <w:rsid w:val="37520F7C"/>
    <w:rsid w:val="375269BA"/>
    <w:rsid w:val="38456CFC"/>
    <w:rsid w:val="385C2E16"/>
    <w:rsid w:val="38933D9D"/>
    <w:rsid w:val="38E72DEA"/>
    <w:rsid w:val="38EF47A9"/>
    <w:rsid w:val="392B0F85"/>
    <w:rsid w:val="397877DC"/>
    <w:rsid w:val="39BA47D5"/>
    <w:rsid w:val="3AEE438A"/>
    <w:rsid w:val="3B000C79"/>
    <w:rsid w:val="3B3703DD"/>
    <w:rsid w:val="3CD414BD"/>
    <w:rsid w:val="3D0A03F7"/>
    <w:rsid w:val="3D2766B1"/>
    <w:rsid w:val="3D927A08"/>
    <w:rsid w:val="3E1A6FA7"/>
    <w:rsid w:val="3E427218"/>
    <w:rsid w:val="3E9A4BFE"/>
    <w:rsid w:val="43213C45"/>
    <w:rsid w:val="438860A3"/>
    <w:rsid w:val="44F35DAC"/>
    <w:rsid w:val="45903A6D"/>
    <w:rsid w:val="45BA2B7D"/>
    <w:rsid w:val="463E5A44"/>
    <w:rsid w:val="46F82E1B"/>
    <w:rsid w:val="474A3B84"/>
    <w:rsid w:val="47932DF9"/>
    <w:rsid w:val="47EE67D9"/>
    <w:rsid w:val="4828582E"/>
    <w:rsid w:val="48315726"/>
    <w:rsid w:val="48641732"/>
    <w:rsid w:val="49071871"/>
    <w:rsid w:val="49091C41"/>
    <w:rsid w:val="49E35F82"/>
    <w:rsid w:val="4A102309"/>
    <w:rsid w:val="4A751EA1"/>
    <w:rsid w:val="4A9507D0"/>
    <w:rsid w:val="4BEF1882"/>
    <w:rsid w:val="4BF62663"/>
    <w:rsid w:val="4BFA494D"/>
    <w:rsid w:val="4C316320"/>
    <w:rsid w:val="4DBC1319"/>
    <w:rsid w:val="4DDC57FB"/>
    <w:rsid w:val="4E0F4B5E"/>
    <w:rsid w:val="4E3026EF"/>
    <w:rsid w:val="4FC90331"/>
    <w:rsid w:val="4FFE6916"/>
    <w:rsid w:val="501972A0"/>
    <w:rsid w:val="50B2522C"/>
    <w:rsid w:val="51EA2DF7"/>
    <w:rsid w:val="52BB0A0D"/>
    <w:rsid w:val="545C19D1"/>
    <w:rsid w:val="555D51BF"/>
    <w:rsid w:val="556C63AA"/>
    <w:rsid w:val="55B3111E"/>
    <w:rsid w:val="571050A0"/>
    <w:rsid w:val="573E722C"/>
    <w:rsid w:val="57664CA5"/>
    <w:rsid w:val="5888751C"/>
    <w:rsid w:val="594C2024"/>
    <w:rsid w:val="59524254"/>
    <w:rsid w:val="59D7379C"/>
    <w:rsid w:val="5A533C21"/>
    <w:rsid w:val="5A5513FA"/>
    <w:rsid w:val="5AA52762"/>
    <w:rsid w:val="5B6B6D49"/>
    <w:rsid w:val="5BA74DC5"/>
    <w:rsid w:val="5D952F07"/>
    <w:rsid w:val="5E0D1853"/>
    <w:rsid w:val="5E171EF1"/>
    <w:rsid w:val="5FAA7E7D"/>
    <w:rsid w:val="5FFD5C49"/>
    <w:rsid w:val="6039349E"/>
    <w:rsid w:val="603D4181"/>
    <w:rsid w:val="60684518"/>
    <w:rsid w:val="60BD73F7"/>
    <w:rsid w:val="60F17500"/>
    <w:rsid w:val="61926DDD"/>
    <w:rsid w:val="619616F7"/>
    <w:rsid w:val="61FE6EC1"/>
    <w:rsid w:val="62236D14"/>
    <w:rsid w:val="62536BD9"/>
    <w:rsid w:val="62AC0373"/>
    <w:rsid w:val="647D4937"/>
    <w:rsid w:val="655201D5"/>
    <w:rsid w:val="666F593F"/>
    <w:rsid w:val="66FC222F"/>
    <w:rsid w:val="675E2EEB"/>
    <w:rsid w:val="67642D5A"/>
    <w:rsid w:val="67E1206E"/>
    <w:rsid w:val="6830358D"/>
    <w:rsid w:val="683E039E"/>
    <w:rsid w:val="695E26A3"/>
    <w:rsid w:val="69886D18"/>
    <w:rsid w:val="6AE14F19"/>
    <w:rsid w:val="6B554435"/>
    <w:rsid w:val="6B8E7B1A"/>
    <w:rsid w:val="6C9B1645"/>
    <w:rsid w:val="6CCB13CB"/>
    <w:rsid w:val="6D28325C"/>
    <w:rsid w:val="6D3B0CDB"/>
    <w:rsid w:val="6D535020"/>
    <w:rsid w:val="6E8977BA"/>
    <w:rsid w:val="6F106AB0"/>
    <w:rsid w:val="708C6491"/>
    <w:rsid w:val="70EE51FE"/>
    <w:rsid w:val="712E1AFD"/>
    <w:rsid w:val="72337514"/>
    <w:rsid w:val="726A02A2"/>
    <w:rsid w:val="72744EAB"/>
    <w:rsid w:val="72E0340B"/>
    <w:rsid w:val="731C4F35"/>
    <w:rsid w:val="7347712D"/>
    <w:rsid w:val="73F34070"/>
    <w:rsid w:val="74C72DEA"/>
    <w:rsid w:val="763C50A2"/>
    <w:rsid w:val="763D658D"/>
    <w:rsid w:val="765323B0"/>
    <w:rsid w:val="77C65B85"/>
    <w:rsid w:val="790E6C44"/>
    <w:rsid w:val="794D07E7"/>
    <w:rsid w:val="79FD2E0A"/>
    <w:rsid w:val="7A320D06"/>
    <w:rsid w:val="7A444689"/>
    <w:rsid w:val="7A576E3B"/>
    <w:rsid w:val="7ABB703F"/>
    <w:rsid w:val="7ADA6FCF"/>
    <w:rsid w:val="7B2A1CEB"/>
    <w:rsid w:val="7B5F2EB2"/>
    <w:rsid w:val="7BD25012"/>
    <w:rsid w:val="7C3C5E6C"/>
    <w:rsid w:val="7D6D677B"/>
    <w:rsid w:val="7DA146C1"/>
    <w:rsid w:val="7F8445C8"/>
    <w:rsid w:val="7FD8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1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800080"/>
      <w:u w:val="none"/>
    </w:rPr>
  </w:style>
  <w:style w:type="character" w:styleId="15">
    <w:name w:val="Emphasis"/>
    <w:basedOn w:val="12"/>
    <w:qFormat/>
    <w:uiPriority w:val="0"/>
    <w:rPr>
      <w:b/>
    </w:rPr>
  </w:style>
  <w:style w:type="character" w:styleId="16">
    <w:name w:val="HTML Definition"/>
    <w:basedOn w:val="12"/>
    <w:qFormat/>
    <w:uiPriority w:val="0"/>
  </w:style>
  <w:style w:type="character" w:styleId="17">
    <w:name w:val="HTML Typewriter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18">
    <w:name w:val="HTML Acronym"/>
    <w:basedOn w:val="12"/>
    <w:qFormat/>
    <w:uiPriority w:val="0"/>
  </w:style>
  <w:style w:type="character" w:styleId="19">
    <w:name w:val="HTML Variable"/>
    <w:basedOn w:val="12"/>
    <w:qFormat/>
    <w:uiPriority w:val="0"/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HTML Code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22">
    <w:name w:val="HTML Cite"/>
    <w:basedOn w:val="12"/>
    <w:qFormat/>
    <w:uiPriority w:val="0"/>
  </w:style>
  <w:style w:type="character" w:styleId="23">
    <w:name w:val="HTML Keyboard"/>
    <w:basedOn w:val="12"/>
    <w:qFormat/>
    <w:uiPriority w:val="0"/>
    <w:rPr>
      <w:rFonts w:ascii="monospace" w:hAnsi="monospace" w:eastAsia="monospace" w:cs="monospace"/>
      <w:sz w:val="20"/>
    </w:rPr>
  </w:style>
  <w:style w:type="character" w:styleId="24">
    <w:name w:val="HTML Sample"/>
    <w:basedOn w:val="12"/>
    <w:qFormat/>
    <w:uiPriority w:val="0"/>
    <w:rPr>
      <w:rFonts w:hint="default" w:ascii="monospace" w:hAnsi="monospace" w:eastAsia="monospace" w:cs="monospace"/>
    </w:rPr>
  </w:style>
  <w:style w:type="paragraph" w:customStyle="1" w:styleId="25">
    <w:name w:val="1"/>
    <w:basedOn w:val="1"/>
    <w:qFormat/>
    <w:uiPriority w:val="0"/>
    <w:pPr>
      <w:ind w:firstLine="0" w:firstLineChars="0"/>
    </w:pPr>
  </w:style>
  <w:style w:type="paragraph" w:customStyle="1" w:styleId="26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7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0">
    <w:name w:val="text1"/>
    <w:basedOn w:val="12"/>
    <w:qFormat/>
    <w:uiPriority w:val="0"/>
    <w:rPr>
      <w:color w:val="728DD3"/>
    </w:rPr>
  </w:style>
  <w:style w:type="character" w:customStyle="1" w:styleId="3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32">
    <w:name w:val="List Paragraph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               </Company>
  <Pages>21</Pages>
  <Words>2269</Words>
  <Characters>2595</Characters>
  <Lines>61</Lines>
  <Paragraphs>17</Paragraphs>
  <TotalTime>6</TotalTime>
  <ScaleCrop>false</ScaleCrop>
  <LinksUpToDate>false</LinksUpToDate>
  <CharactersWithSpaces>2636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谌雄雄</cp:lastModifiedBy>
  <cp:lastPrinted>2021-10-27T03:16:00Z</cp:lastPrinted>
  <dcterms:modified xsi:type="dcterms:W3CDTF">2024-06-12T09:35:55Z</dcterms:modified>
  <cp:revision>373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2B09027BB80D4A61BB847F84BE2D2327_12</vt:lpwstr>
  </property>
</Properties>
</file>